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AF" w:rsidRDefault="00B90CC3">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 xml:space="preserve">                                      </w:t>
      </w:r>
      <w:r>
        <w:rPr>
          <w:noProof/>
        </w:rPr>
        <w:drawing>
          <wp:anchor distT="0" distB="0" distL="114300" distR="114300" simplePos="0" relativeHeight="251658240" behindDoc="0" locked="0" layoutInCell="1" hidden="0" allowOverlap="1">
            <wp:simplePos x="0" y="0"/>
            <wp:positionH relativeFrom="column">
              <wp:posOffset>707390</wp:posOffset>
            </wp:positionH>
            <wp:positionV relativeFrom="paragraph">
              <wp:posOffset>0</wp:posOffset>
            </wp:positionV>
            <wp:extent cx="614045" cy="615950"/>
            <wp:effectExtent l="0" t="0" r="0" b="0"/>
            <wp:wrapSquare wrapText="bothSides" distT="0" distB="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7841" t="9147" r="8107" b="7769"/>
                    <a:stretch>
                      <a:fillRect/>
                    </a:stretch>
                  </pic:blipFill>
                  <pic:spPr>
                    <a:xfrm>
                      <a:off x="0" y="0"/>
                      <a:ext cx="614045" cy="6159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3781425</wp:posOffset>
            </wp:positionH>
            <wp:positionV relativeFrom="paragraph">
              <wp:posOffset>0</wp:posOffset>
            </wp:positionV>
            <wp:extent cx="1418590" cy="615950"/>
            <wp:effectExtent l="0" t="0" r="0" b="0"/>
            <wp:wrapSquare wrapText="bothSides" distT="0" distB="0" distL="114300" distR="114300"/>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t="28275" b="28261"/>
                    <a:stretch>
                      <a:fillRect/>
                    </a:stretch>
                  </pic:blipFill>
                  <pic:spPr>
                    <a:xfrm>
                      <a:off x="0" y="0"/>
                      <a:ext cx="1418590" cy="615950"/>
                    </a:xfrm>
                    <a:prstGeom prst="rect">
                      <a:avLst/>
                    </a:prstGeom>
                    <a:ln/>
                  </pic:spPr>
                </pic:pic>
              </a:graphicData>
            </a:graphic>
          </wp:anchor>
        </w:drawing>
      </w:r>
    </w:p>
    <w:p w:rsidR="006D4BD4" w:rsidRDefault="006D4BD4">
      <w:pPr>
        <w:spacing w:before="280" w:after="280" w:line="240" w:lineRule="auto"/>
        <w:rPr>
          <w:rFonts w:ascii="Times New Roman" w:eastAsia="Times New Roman" w:hAnsi="Times New Roman" w:cs="Times New Roman"/>
          <w:b/>
          <w:sz w:val="24"/>
          <w:szCs w:val="24"/>
        </w:rPr>
      </w:pPr>
    </w:p>
    <w:p w:rsidR="00100847" w:rsidRDefault="00100847" w:rsidP="00100847">
      <w:pPr>
        <w:spacing w:line="276" w:lineRule="auto"/>
        <w:rPr>
          <w:rFonts w:ascii="Times New Roman" w:hAnsi="Times New Roman" w:cs="Times New Roman"/>
          <w:b/>
          <w:bCs/>
          <w:sz w:val="24"/>
          <w:szCs w:val="24"/>
        </w:rPr>
      </w:pPr>
    </w:p>
    <w:p w:rsidR="00A278CC" w:rsidRDefault="00A278CC" w:rsidP="00100847">
      <w:pPr>
        <w:spacing w:line="276" w:lineRule="auto"/>
        <w:rPr>
          <w:rFonts w:ascii="Times New Roman" w:hAnsi="Times New Roman" w:cs="Times New Roman"/>
          <w:b/>
          <w:bCs/>
          <w:sz w:val="24"/>
          <w:szCs w:val="24"/>
        </w:rPr>
      </w:pPr>
    </w:p>
    <w:p w:rsidR="00A278CC" w:rsidRDefault="00A278CC" w:rsidP="00A278CC">
      <w:pPr>
        <w:jc w:val="cente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REZOLUCIJA</w:t>
      </w:r>
      <w:r>
        <w:rPr>
          <w:rFonts w:ascii="Times New Roman" w:eastAsiaTheme="minorHAnsi" w:hAnsi="Times New Roman" w:cs="Times New Roman"/>
          <w:b/>
          <w:sz w:val="24"/>
          <w:szCs w:val="24"/>
        </w:rPr>
        <w:t xml:space="preserve"> </w:t>
      </w:r>
      <w:r w:rsidRPr="00A278CC">
        <w:rPr>
          <w:rFonts w:ascii="Times New Roman" w:eastAsiaTheme="minorHAnsi" w:hAnsi="Times New Roman" w:cs="Times New Roman"/>
          <w:b/>
          <w:sz w:val="24"/>
          <w:szCs w:val="24"/>
        </w:rPr>
        <w:t xml:space="preserve">O UTVRĐENIM POTREBAMA </w:t>
      </w:r>
    </w:p>
    <w:p w:rsidR="00A278CC" w:rsidRPr="00A278CC" w:rsidRDefault="00A278CC" w:rsidP="00A278CC">
      <w:pPr>
        <w:jc w:val="cente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I PREPORUKE</w:t>
      </w:r>
    </w:p>
    <w:p w:rsidR="00A278CC" w:rsidRPr="00A278CC" w:rsidRDefault="00A278CC" w:rsidP="00A278CC">
      <w:pPr>
        <w:jc w:val="cente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ZA DIGITALIZACIJU I ZAŠTITU LIČNIH PODATAKA</w:t>
      </w:r>
    </w:p>
    <w:p w:rsidR="00A278CC" w:rsidRPr="00A278CC" w:rsidRDefault="00A278CC" w:rsidP="00A278CC">
      <w:pPr>
        <w:jc w:val="cente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NA ZAPADNOM BALKANU</w:t>
      </w:r>
    </w:p>
    <w:p w:rsidR="00A278CC" w:rsidRPr="00A278CC" w:rsidRDefault="00A278CC" w:rsidP="00A278CC">
      <w:pPr>
        <w:rPr>
          <w:rFonts w:ascii="Times New Roman" w:eastAsiaTheme="minorHAnsi" w:hAnsi="Times New Roman" w:cs="Times New Roman"/>
          <w:sz w:val="24"/>
          <w:szCs w:val="24"/>
        </w:rPr>
      </w:pP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Uvod</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Mi, predstavnici organizacija civilnog društva, okupili smo se zajedno sa javnim institucijama, nezavisnim institucijama i nadležnim organima za zaštitu ljudskih prava i podataka, kao i predstavnicima pravosudnog sistema iz Albanije, Kosova, Severne Makedonije i Srbije, na Regionalnoj diskusiji</w:t>
      </w:r>
      <w:r w:rsidRPr="00A278CC">
        <w:rPr>
          <w:rFonts w:ascii="Times New Roman" w:eastAsiaTheme="minorHAnsi" w:hAnsi="Times New Roman" w:cs="Times New Roman"/>
          <w:sz w:val="24"/>
          <w:szCs w:val="24"/>
          <w:vertAlign w:val="superscript"/>
        </w:rPr>
        <w:footnoteReference w:id="1"/>
      </w:r>
      <w:r w:rsidRPr="00A278CC">
        <w:rPr>
          <w:rFonts w:ascii="Times New Roman" w:eastAsiaTheme="minorHAnsi" w:hAnsi="Times New Roman" w:cs="Times New Roman"/>
          <w:sz w:val="24"/>
          <w:szCs w:val="24"/>
        </w:rPr>
        <w:t xml:space="preserve"> održanoj 16. decembra 2024. godine u Ohridu, Severna Makedonija.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Kao rezultat ovog konstruktivnog i otvorenog dijaloga, koji se fokusirao na uticaj digitalizacije usluga i javne uprave na ljudska prava i lične podatke u regionu, naglašena je potreba za regionalnim, jedinstvenim i inkluzivnim pristupom u izradi odgovarajućeg pravnog okvira, kako bi se osiguralo da svi građani Zapadnog Balkana imaju koristi i upotrebljavaju bezbedne i pristupačne digitalne usluge.</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Analiza trenutnog stanja digitalizacije usluga i javne uprave ističe potrebu za povećanjem regionalnog strateškog fokusa na unapređenju napora za digitalizaciju onlajn usluga. Pored toga, neophodno je veće usklađivanje sa Evropskim okvirom interoperabilnosti (EIF) kako bi se kreirala standardizovana digitalna rešenja na centralnom i na lokalnom nivou, i kako bi se osigurala puna usklađenost sa osnovnim ljudskim pravima.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Ovi napori zahtevaju zajedničko delovanje na regionalnom nivou za postizanje glavnih strateških ciljeva: (I) digitalne javne usluge; (II) digitalna infrastruktura; (III) integracija digitalnih tehnologija; i (IV) ljudski kapital, uz primenu principa zaštite podataka kao što su zakonitost, pravičnost, transparentnost, minimiziranje prikupljanja ličnih podataka i ograničenje svrhe prikupljanja, u potpunoj saglasnosti sa Opštom uredbom o zaštiti podataka EU (GDPR)</w:t>
      </w:r>
      <w:r w:rsidRPr="00A278CC">
        <w:rPr>
          <w:rFonts w:ascii="Times New Roman" w:eastAsiaTheme="minorHAnsi" w:hAnsi="Times New Roman" w:cs="Times New Roman"/>
          <w:sz w:val="24"/>
          <w:szCs w:val="24"/>
          <w:vertAlign w:val="superscript"/>
        </w:rPr>
        <w:footnoteReference w:id="2"/>
      </w:r>
      <w:r w:rsidRPr="00A278CC">
        <w:rPr>
          <w:rFonts w:ascii="Times New Roman" w:eastAsiaTheme="minorHAnsi" w:hAnsi="Times New Roman" w:cs="Times New Roman"/>
          <w:sz w:val="24"/>
          <w:szCs w:val="24"/>
        </w:rPr>
        <w:t>.</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lastRenderedPageBreak/>
        <w:t>Rešavanje etičkih i pravnih izazova digitalizacije javnih usluga zahteva kontinuirano regionalno delovanje vlada i parlamenata četiri zemlje koje predstavljamo, kako bi se podstakli dalji koraci u usklađivanju zakonodavstva sa evropskim standardima.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Verujemo da je potrebna veća pažnja da bi se obezbedio inkluzivni pristup digitalnim uslugama. Zbog toga se mora posebno poštovati ljudsko dostojanstvo i privatnost, čime se potvrđuje „primat ljudi nad mašinama“.</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Uzimajući u obzir raznovrsne diskusije na našem regionalnom sastanku, obraćamo se vladama i parlamentima četiri zemlje koje predstavljamo – Albanije, Kosova, Severne Makedonije i Srbije – sa sledećim preporukama:</w:t>
      </w:r>
    </w:p>
    <w:p w:rsidR="00A278CC" w:rsidRPr="00A278CC" w:rsidRDefault="00A278CC" w:rsidP="00A278CC">
      <w:pPr>
        <w:rPr>
          <w:rFonts w:ascii="Times New Roman" w:eastAsiaTheme="minorHAnsi" w:hAnsi="Times New Roman" w:cs="Times New Roman"/>
          <w:b/>
          <w:sz w:val="24"/>
          <w:szCs w:val="24"/>
        </w:rPr>
      </w:pP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(I) DIGITALNE JAVNE USLUGE</w:t>
      </w:r>
    </w:p>
    <w:p w:rsidR="00A278CC" w:rsidRPr="00A278CC" w:rsidRDefault="00A278CC" w:rsidP="00A278CC">
      <w:pPr>
        <w:ind w:firstLine="720"/>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1. E-UPRAVA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ELEKTRONSKI KOMUNIKACIJSKI SISTEMI</w:t>
      </w:r>
      <w:r w:rsidRPr="00A278CC">
        <w:rPr>
          <w:rFonts w:ascii="Times New Roman" w:eastAsiaTheme="minorHAnsi" w:hAnsi="Times New Roman" w:cs="Times New Roman"/>
          <w:sz w:val="24"/>
          <w:szCs w:val="24"/>
        </w:rPr>
        <w:t>: Preporučujemo nastavak širenja brze širokopojasne komunikacione infrastrukture, sa posebnim fokusom na povezivanje porodica i škola u ruralnim područjima. Neophodno je da se zakoni o širokopojasnom pristupu usklade sa Uredbom EU o širokopojasnoj komunikacionoj infrastrukturi (Gigabit Infrastructure Act), kao i da se primeni paket alata EU za smanjenje bezbednosnih rizika povezanih sa uvođenjem 5G mreže (5G Cybersecurity Box).</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JAČANJE TRANSPARENTNOSTI I ODGOVORNOSTI U DIGITALNIM JAVNIM USLUGAMA</w:t>
      </w:r>
      <w:r w:rsidRPr="00A278CC">
        <w:rPr>
          <w:rFonts w:ascii="Times New Roman" w:eastAsiaTheme="minorHAnsi" w:hAnsi="Times New Roman" w:cs="Times New Roman"/>
          <w:sz w:val="24"/>
          <w:szCs w:val="24"/>
        </w:rPr>
        <w:t>: Preporučujemo jačanje mehanizama za transparentnost i odgovornost u korišćenju platformi za e-upravu. Ovi mehanizmi treba da obezbede da platforme ispunjavaju standarde efikasnosti i efektivnosti, dok građanima obezbeđuju pouzdane sisteme za praćenje njihove upotrebe. Posebno je neophodno stvoriti efikasne žalbene mehanizme na nacionalnom nivou kako bi se zaštitila prava građana, posebno u pogledu zabrinutosti za privatnost koja proističe iz upotrebe njihovih ličnih podataka.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JAČANJE ULOGE I NEZAVISNOSTI ORGANA ZA ZAŠTITU PODATAKA</w:t>
      </w:r>
      <w:r w:rsidRPr="00A278CC">
        <w:rPr>
          <w:rFonts w:ascii="Times New Roman" w:eastAsiaTheme="minorHAnsi" w:hAnsi="Times New Roman" w:cs="Times New Roman"/>
          <w:sz w:val="24"/>
          <w:szCs w:val="24"/>
        </w:rPr>
        <w:t>: Preporučujemo konkretne korake za usklađivanje zakona o privatnosti i bezbednosti podataka sa propisima EU. Takođe preporučujemo mere koje će obezbediti da organi za zaštitu podataka (Data Protection Authorities - DPAs) budu potpuno nezavisni, adekvatno finansirani i opremljeni neophodnom tehničkom ekspertizom za efikasnu zaštitu ličnih i osetljivih podataka građana. Posebno, pozivajući se na probleme koji se obično sreću u praksi, podstičemo unapređenje mera za rešavanje štetnih, lažnih, obmanjujućih ili netačnih podataka, koje obrađuju kontrolori i obrađivači. Važno je istaći da standardi transparentnosti zahtevaju od onih koji su odgovorni za rešavanje pitanja koja dovode do netačne i irelevantne obrade ličnih podataka da takođe poštuju  ograničenja skladištenja, koja se mogu desiti samo u neophodnom javnom interesu, naučnim ili istorijskim istraživanjima. Konačno, standardi odgovornosti zahtevaju mere koje naglašavaju odgovornost kontrolora podataka za sprovođenje tehničkih i organizacionih mera i za obezbeđivanje dostupnih informacija o transparentnosti, postavljanjem jasnih politika čuvanja podataka.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lastRenderedPageBreak/>
        <w:t>JAČANJE NADZORA I PRAVNIH OKVIRA ZA ZAŠTITU PODATAKA</w:t>
      </w:r>
      <w:r w:rsidRPr="00A278CC">
        <w:rPr>
          <w:rFonts w:ascii="Times New Roman" w:eastAsiaTheme="minorHAnsi" w:hAnsi="Times New Roman" w:cs="Times New Roman"/>
          <w:sz w:val="24"/>
          <w:szCs w:val="24"/>
        </w:rPr>
        <w:t>: Parlamenti četiri zemlje se ohrabruju da ojačaju zakonske okvire za zaštitu podataka i usklade sektorsko zakonodavstvo sa GDPR-om, uz razmatranje pozitivnih modela kao što je Albanija, koja je nedavno uskladila svoje zakonodavstvo. Pored toga, neophodno je implementirati mehanizme za redovne revizije i mehanizme praćenja kako bi se osigurala efikasna primena ovih zakona.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PROMOVISANJE REGIONALNE SARADNJE I IZGRADNJE KAPACITETA ORGANA ZA ZAŠTITU PODATAKA</w:t>
      </w:r>
      <w:r w:rsidRPr="00A278CC">
        <w:rPr>
          <w:rFonts w:ascii="Times New Roman" w:eastAsiaTheme="minorHAnsi" w:hAnsi="Times New Roman" w:cs="Times New Roman"/>
          <w:sz w:val="24"/>
          <w:szCs w:val="24"/>
        </w:rPr>
        <w:t>: Preporučujemo stvaranje regionalne platforme za olakšavanje saradnje između organa za zaštitu podataka (DPA) na Zapadnom Balkanu, omogućavajući razmenu znanja, najboljih praksi, harmonizaciju regulatornih akata gde je to moguće, povećanje prekogranične saradnje na zajedničkim izazovima zaštite podataka, i izgradnju ili dalje jačanje kapaciteta.</w:t>
      </w:r>
    </w:p>
    <w:p w:rsidR="00A278CC" w:rsidRPr="00A278CC" w:rsidRDefault="00A278CC" w:rsidP="00A278CC">
      <w:pPr>
        <w:ind w:firstLine="720"/>
        <w:jc w:val="both"/>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2. DIGITALNO DRŽAVLJANSTVO</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OBEZBEĐIVANJE PRISTUPAČNOSTI I INKLUZIVNOSTI DIGITALNIH JAVNIH USLUGA</w:t>
      </w:r>
      <w:r w:rsidRPr="00A278CC">
        <w:rPr>
          <w:rFonts w:ascii="Times New Roman" w:eastAsiaTheme="minorHAnsi" w:hAnsi="Times New Roman" w:cs="Times New Roman"/>
          <w:sz w:val="24"/>
          <w:szCs w:val="24"/>
        </w:rPr>
        <w:t>: Preporučujemo davanje prioriteta razvoju inkluzivnih i prilagođenih digitalnih platformi za pružanje javnih usluga, obezbeđujući pristup svim građanima, uključujući one sa invaliditetom ili one koji ne mogu da čitaju, pišu ili koriste digitalne alate. Ove platforme treba da sadrže višejezične opcije za nacionalne manjine koje postoje u svakoj zemlji, kao i da prilagode pristupačne nivoe digitalne pismenosti za različite grupe. Da bi proširile pristup, vlade se podstiču da prošire digitalne mreže na ruralna i udaljena područja i usvoje različite pristupe koji kombinuju digitalne usluge i fizičke usluge. Francuski model za stvaranje „digitalnih kancelarija“ može poslužiti kao dragocena referenca, pružajući građanima jasne smernice, pojednostavljene formate i elemente dizajna prilagođene korisniku kako bi se olakšao pristup i korišćenje digitalnih platformi.</w:t>
      </w:r>
    </w:p>
    <w:p w:rsidR="00A278CC" w:rsidRPr="00A278CC" w:rsidRDefault="00A278CC" w:rsidP="00A278CC">
      <w:pPr>
        <w:ind w:firstLine="720"/>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3. DIGITALNO POSLOVANJE</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POVEĆANJE KORIŠĆENJA DIGITALNIH USLUGA U JAVNOM I PRIVATNOM SEKTORU</w:t>
      </w:r>
      <w:r w:rsidRPr="00A278CC">
        <w:rPr>
          <w:rFonts w:ascii="Times New Roman" w:eastAsiaTheme="minorHAnsi" w:hAnsi="Times New Roman" w:cs="Times New Roman"/>
          <w:sz w:val="24"/>
          <w:szCs w:val="24"/>
        </w:rPr>
        <w:t>: Verujemo da je jačanje poverenja između preduzeća i javnih institucija, kao i između raznih poslovnih subjekata, i promovisanje, podrška ili stvaranje pogodnosti za razvoj i primenu inovativnih digitalnih tehnologija u pružanju javnih ili privatnih usluga od suštinskog značaja. Smatramo da je važno pružiti podršku privatnom sektoru u cilju povećanja konkurentnosti i pristupa javnosti njegovim proizvodima, uslugama i proizvodnim procesima. Da bi se to postiglo, preporučujemo da vlade četiri zemlje redovno procenjuju i prate digitalnu spremnost i performanse poslovnih sektora, podstičući regionalnu saradnju i ugovore o slobodnoj trgovini u skladu sa ciljevima Centralnoevropskog sporazuma o slobodnoj trgovini (CEFTA)</w:t>
      </w:r>
      <w:r w:rsidRPr="00A278CC">
        <w:rPr>
          <w:rFonts w:ascii="Times New Roman" w:eastAsiaTheme="minorHAnsi" w:hAnsi="Times New Roman" w:cs="Times New Roman"/>
          <w:sz w:val="24"/>
          <w:szCs w:val="24"/>
          <w:vertAlign w:val="superscript"/>
        </w:rPr>
        <w:footnoteReference w:id="3"/>
      </w:r>
      <w:r w:rsidRPr="00A278CC">
        <w:rPr>
          <w:rFonts w:ascii="Times New Roman" w:eastAsiaTheme="minorHAnsi" w:hAnsi="Times New Roman" w:cs="Times New Roman"/>
          <w:sz w:val="24"/>
          <w:szCs w:val="24"/>
        </w:rPr>
        <w:t>.</w:t>
      </w:r>
    </w:p>
    <w:p w:rsidR="00A278CC" w:rsidRPr="00A278CC" w:rsidRDefault="00A278CC" w:rsidP="00A278CC">
      <w:pPr>
        <w:ind w:firstLine="720"/>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4. OTVORENI PODACI</w:t>
      </w:r>
    </w:p>
    <w:p w:rsidR="00A278CC" w:rsidRPr="00A278CC" w:rsidRDefault="00A278CC" w:rsidP="00A278CC">
      <w:pPr>
        <w:jc w:val="both"/>
        <w:rPr>
          <w:rFonts w:ascii="Times New Roman" w:eastAsiaTheme="minorHAnsi" w:hAnsi="Times New Roman" w:cs="Times New Roman"/>
          <w:sz w:val="24"/>
          <w:szCs w:val="24"/>
        </w:rPr>
      </w:pPr>
      <w:r w:rsidRPr="00CB28A3">
        <w:rPr>
          <w:rFonts w:ascii="Times New Roman" w:eastAsiaTheme="minorHAnsi" w:hAnsi="Times New Roman" w:cs="Times New Roman"/>
          <w:b/>
          <w:sz w:val="24"/>
          <w:szCs w:val="24"/>
        </w:rPr>
        <w:t>UNAPREĐENJE RAZVOJA OTVORENIH PODATAKA NA NACIONALNOM I REGIONALNOM NIVOU</w:t>
      </w:r>
      <w:r w:rsidRPr="00A278CC">
        <w:rPr>
          <w:rFonts w:ascii="Times New Roman" w:eastAsiaTheme="minorHAnsi" w:hAnsi="Times New Roman" w:cs="Times New Roman"/>
          <w:sz w:val="24"/>
          <w:szCs w:val="24"/>
        </w:rPr>
        <w:t xml:space="preserve">: U skladu sa koracima identifikovanim u izveštaju „Regionalni okvir za slobodan protok podataka u regiji Zapadnog Balkana“, preporučujemo zemljama da se posvete rešavanju navedenih izazova i preporukama, smatrajući prioritetom kako na nacionalnom tako i </w:t>
      </w:r>
      <w:r w:rsidRPr="00A278CC">
        <w:rPr>
          <w:rFonts w:ascii="Times New Roman" w:eastAsiaTheme="minorHAnsi" w:hAnsi="Times New Roman" w:cs="Times New Roman"/>
          <w:sz w:val="24"/>
          <w:szCs w:val="24"/>
        </w:rPr>
        <w:lastRenderedPageBreak/>
        <w:t>na regionalnom nivou da se olakša zajedničko razumevanje i praksa otvorenih podataka. Pored toga, vlade i parlamenti četiri zemlje se podstiču da u potpunosti usklade svoj pravni okvir sa Direktivom o otvorenim podacima EU koja se odnosi na ponovnu upotrebu informacija javnog sektora. Ističemo potrebu regionalne saradnje među vladama u cilju unapređenja razvijenosti  sistema otvorenih podataka na regionalnom nivou, sa ciljem stvaranja jedinstvenog sistema.</w:t>
      </w: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ISTRAŽIVAČKI RAD</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PROMOVISANJE REGIONALNIH SISTEMA OTVORENIH PODATAKA I ISTRAŽIVAČKIH INICIJATIVA</w:t>
      </w:r>
      <w:r w:rsidRPr="00A278CC">
        <w:rPr>
          <w:rFonts w:ascii="Times New Roman" w:eastAsiaTheme="minorHAnsi" w:hAnsi="Times New Roman" w:cs="Times New Roman"/>
          <w:sz w:val="24"/>
          <w:szCs w:val="24"/>
        </w:rPr>
        <w:t>: Smatramo da je dodeljivanje namenskih budžeta za istraživanje i inovacije od suštinske važnosti za promovisanje jedinstvenih regionalnih sistema baza podataka. Takve investicije mogle bi poslužiti kao osnova za stvaranje budućeg Regionalnog centra za informaciona istraživanja po uzoru na Evropsku nacionalnu istraživačku i obrazovnu mrežu.</w:t>
      </w:r>
    </w:p>
    <w:p w:rsidR="00A278CC" w:rsidRPr="00A278CC" w:rsidRDefault="00A278CC" w:rsidP="00A278CC">
      <w:pPr>
        <w:jc w:val="both"/>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eID</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USKLAĐIVANJE ZAKONODAVSTVA SA EVROPSKOM REGULATIVOM O ELEKTRONSKOJ IDENTIFIKACIJI (eID)</w:t>
      </w:r>
      <w:r w:rsidRPr="00A278CC">
        <w:rPr>
          <w:rFonts w:ascii="Times New Roman" w:eastAsiaTheme="minorHAnsi" w:hAnsi="Times New Roman" w:cs="Times New Roman"/>
          <w:sz w:val="24"/>
          <w:szCs w:val="24"/>
        </w:rPr>
        <w:t>: Na osnovu usvojene „</w:t>
      </w:r>
      <w:r w:rsidRPr="00A278CC">
        <w:rPr>
          <w:rFonts w:asciiTheme="minorHAnsi" w:eastAsiaTheme="minorHAnsi" w:hAnsiTheme="minorHAnsi" w:cstheme="minorBidi"/>
        </w:rPr>
        <w:t xml:space="preserve"> </w:t>
      </w:r>
      <w:r w:rsidRPr="00A278CC">
        <w:rPr>
          <w:rFonts w:ascii="Times New Roman" w:eastAsiaTheme="minorHAnsi" w:hAnsi="Times New Roman" w:cs="Times New Roman"/>
          <w:sz w:val="24"/>
          <w:szCs w:val="24"/>
        </w:rPr>
        <w:t>Zajedničke izjave o interoperabilnom zapadnom Balkanu i priznavanju elektronske identifikacije i usluga poverenja u regionu</w:t>
      </w:r>
      <w:r w:rsidRPr="00A278CC">
        <w:rPr>
          <w:rFonts w:ascii="Times New Roman" w:eastAsiaTheme="minorHAnsi" w:hAnsi="Times New Roman" w:cs="Times New Roman"/>
          <w:sz w:val="24"/>
          <w:szCs w:val="24"/>
          <w:vertAlign w:val="superscript"/>
        </w:rPr>
        <w:footnoteReference w:id="4"/>
      </w:r>
      <w:r w:rsidRPr="00A278CC">
        <w:rPr>
          <w:rFonts w:ascii="Times New Roman" w:eastAsiaTheme="minorHAnsi" w:hAnsi="Times New Roman" w:cs="Times New Roman"/>
          <w:sz w:val="24"/>
          <w:szCs w:val="24"/>
        </w:rPr>
        <w:t>“ i implementacije prekograničnih usluga, preporučujemo da se obezbedi puna usklađenost četiri evropske zemlje sa evropskim okvirom interoperabilnosti (EIF), posebno sa uredbom eIDAS, koja olakšava sigurne prekogranične transakcije uspostavljanjem okvira za digitalni identitet i autentifikaciju, i Opštom uredbom o zaštiti podataka (GDPR). Napori su takođe potrebni za razvoj Regionalnog novčanika digitalnog identiteta („Balkanski novčanik digitalnog identiteta“) i za unapređenje saradnje za usvajanje preciznih tehničkih zahteva za primenu eID-a na vladinim platformama.</w:t>
      </w:r>
    </w:p>
    <w:p w:rsidR="00A278CC" w:rsidRPr="00A278CC" w:rsidRDefault="00A278CC" w:rsidP="00A278CC">
      <w:pPr>
        <w:rPr>
          <w:rFonts w:ascii="Times New Roman" w:eastAsiaTheme="minorHAnsi" w:hAnsi="Times New Roman" w:cs="Times New Roman"/>
          <w:b/>
          <w:sz w:val="24"/>
          <w:szCs w:val="24"/>
        </w:rPr>
      </w:pP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(II) DIGITALNA INFRASTRUKTURA</w:t>
      </w:r>
    </w:p>
    <w:p w:rsidR="00A278CC" w:rsidRPr="00A278CC" w:rsidRDefault="00A278CC" w:rsidP="00A278CC">
      <w:pPr>
        <w:ind w:firstLine="720"/>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w:t>
      </w:r>
      <w:r w:rsidRPr="00A278CC">
        <w:rPr>
          <w:rFonts w:ascii="Times New Roman" w:eastAsiaTheme="minorHAnsi" w:hAnsi="Times New Roman" w:cs="Times New Roman"/>
          <w:b/>
          <w:sz w:val="24"/>
          <w:szCs w:val="24"/>
        </w:rPr>
        <w:t>Povećanje usredsređenosti na korisnike i transparentnosti vladinih jedinica</w:t>
      </w:r>
      <w:r w:rsidRPr="00A278CC">
        <w:rPr>
          <w:rFonts w:ascii="Times New Roman" w:eastAsiaTheme="minorHAnsi" w:hAnsi="Times New Roman" w:cs="Times New Roman"/>
          <w:sz w:val="24"/>
          <w:szCs w:val="24"/>
        </w:rPr>
        <w:t xml:space="preserve"> </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Ocenjujemo da su potrebni dalji napori kako bi se obezbedila usklađenost sa principima usmerenosti na korisnika i transparentnosti, uz ocenjivanje digitalne spremnosti javnog sektora koji služi građanima i preduzećima. Ova procena, u skladu sa metodologijom Indeksa digitalne ekonomije i društva (DESI)</w:t>
      </w:r>
      <w:r w:rsidRPr="00A278CC">
        <w:rPr>
          <w:rFonts w:ascii="Times New Roman" w:eastAsiaTheme="minorHAnsi" w:hAnsi="Times New Roman" w:cs="Times New Roman"/>
          <w:sz w:val="24"/>
          <w:szCs w:val="24"/>
          <w:vertAlign w:val="superscript"/>
        </w:rPr>
        <w:footnoteReference w:id="5"/>
      </w:r>
      <w:r w:rsidRPr="00A278CC">
        <w:rPr>
          <w:rFonts w:ascii="Times New Roman" w:eastAsiaTheme="minorHAnsi" w:hAnsi="Times New Roman" w:cs="Times New Roman"/>
          <w:sz w:val="24"/>
          <w:szCs w:val="24"/>
        </w:rPr>
        <w:t>, je od suštinskog značaja za definisanje jasnih prioriteta i ciljeva za infrastrukturu i povezanost i na lokalnom i na centralnom nivou. Konkretne radnje bi mogle da obuhvataju dizajniranje i usvajanje sveobuhvatnih politika sajber bezbednosti, sprovođenje procene rizika i kreiranje priručnika za obuku zaposlenih o pravilnom korišćenju, skladištenju i distribuciji podataka putem digitalnih platformi.</w:t>
      </w: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lastRenderedPageBreak/>
        <w:t>(III) INTEGRACIJA DIGITALNIH TEHNOLOGIJA</w:t>
      </w:r>
    </w:p>
    <w:p w:rsidR="00A278CC" w:rsidRPr="00A278CC" w:rsidRDefault="00A278CC" w:rsidP="00A278CC">
      <w:pPr>
        <w:ind w:firstLine="720"/>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w:t>
      </w:r>
      <w:r w:rsidRPr="00A278CC">
        <w:rPr>
          <w:rFonts w:ascii="Times New Roman" w:eastAsiaTheme="minorHAnsi" w:hAnsi="Times New Roman" w:cs="Times New Roman"/>
          <w:b/>
          <w:sz w:val="24"/>
          <w:szCs w:val="24"/>
        </w:rPr>
        <w:t>Usklađivanje nacionalnih politika sa standardima EU</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Preporučujemo usklađivanje nacionalnih politika, pravnih okvira i digitalnih strategija sa standardima EU, posebno u pogledu zaštite podataka i privatnosti. Ovo uključuje pripremu regulatornog zakonodavstva za korišćenje veštačke inteligencije (AI), na osnovu odredbi predviđenih Zakonom Evropske unije o veštačkoj inteligenciji</w:t>
      </w:r>
      <w:r w:rsidRPr="00A278CC">
        <w:rPr>
          <w:rFonts w:ascii="Times New Roman" w:eastAsiaTheme="minorHAnsi" w:hAnsi="Times New Roman" w:cs="Times New Roman"/>
          <w:sz w:val="24"/>
          <w:szCs w:val="24"/>
          <w:vertAlign w:val="superscript"/>
        </w:rPr>
        <w:footnoteReference w:id="6"/>
      </w:r>
      <w:r w:rsidRPr="00A278CC">
        <w:rPr>
          <w:rFonts w:ascii="Times New Roman" w:eastAsiaTheme="minorHAnsi" w:hAnsi="Times New Roman" w:cs="Times New Roman"/>
          <w:sz w:val="24"/>
          <w:szCs w:val="24"/>
        </w:rPr>
        <w:t>, koji će stupiti na snagu u avgustu 2026. Ove mere treba da imaju za cilj prevenciju rizika, promovišući etičku upotrebu veštačke inteligencije u javnoj upravi, uspostavljanje mehanizama usaglašenosti, interne revizije i procene usklađenosti od strane trećih strana radi ublažavanja rizika po bezbednost i zaštite osnovnih ljudskih prava.</w:t>
      </w:r>
    </w:p>
    <w:p w:rsidR="00A278CC" w:rsidRPr="00A278CC" w:rsidRDefault="00A278CC" w:rsidP="00A278CC">
      <w:pPr>
        <w:ind w:firstLine="720"/>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w:t>
      </w:r>
      <w:r w:rsidRPr="00A278CC">
        <w:rPr>
          <w:rFonts w:ascii="Times New Roman" w:eastAsiaTheme="minorHAnsi" w:hAnsi="Times New Roman" w:cs="Times New Roman"/>
          <w:b/>
          <w:sz w:val="24"/>
          <w:szCs w:val="24"/>
        </w:rPr>
        <w:t>Promovisanje etičkog upravljanja veštačkom inteligencijom</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Pored razmatranja koja proizilaze iz Evropskog sporazuma o veštačkoj inteligenciji, vlade četiri zemlje se podstiču da razmotre regulatorne inicijative u okviru „Okvirne konvencije o veštačkoj inteligenciji“ koja se prvenstveno odnosi na javne organe vlasti i na privatne aktere koji deluju u ime javnih vlasti</w:t>
      </w:r>
      <w:r w:rsidRPr="00A278CC">
        <w:rPr>
          <w:rFonts w:ascii="Times New Roman" w:eastAsiaTheme="minorHAnsi" w:hAnsi="Times New Roman" w:cs="Times New Roman"/>
          <w:sz w:val="24"/>
          <w:szCs w:val="24"/>
          <w:vertAlign w:val="superscript"/>
        </w:rPr>
        <w:footnoteReference w:id="7"/>
      </w:r>
      <w:r w:rsidRPr="00A278CC">
        <w:rPr>
          <w:rFonts w:ascii="Times New Roman" w:eastAsiaTheme="minorHAnsi" w:hAnsi="Times New Roman" w:cs="Times New Roman"/>
          <w:sz w:val="24"/>
          <w:szCs w:val="24"/>
        </w:rPr>
        <w:t>.  Svrha regulisanja veštačke inteligencije u ovom kontekstu se prvenstveno odnosi na kršenja ljudskih prava koja mogu biti rezultat aktivnosti u okviru životnog ciklusa AI sistema, više nego usvajanje novog zakonodavstva za korišćenje AI alata. Stoga je dobrodošao zajednički regionalni napor i razmena regulatornih modela između četiri zemlje da se izgradi etički vodič za donošenje fer i odgovornih algoritamskih odluka</w:t>
      </w:r>
      <w:r w:rsidRPr="00A278CC">
        <w:rPr>
          <w:rFonts w:ascii="Times New Roman" w:eastAsiaTheme="minorHAnsi" w:hAnsi="Times New Roman" w:cs="Times New Roman"/>
          <w:sz w:val="24"/>
          <w:szCs w:val="24"/>
          <w:vertAlign w:val="superscript"/>
        </w:rPr>
        <w:footnoteReference w:id="8"/>
      </w:r>
      <w:r w:rsidRPr="00A278CC">
        <w:rPr>
          <w:rFonts w:ascii="Times New Roman" w:eastAsiaTheme="minorHAnsi" w:hAnsi="Times New Roman" w:cs="Times New Roman"/>
          <w:sz w:val="24"/>
          <w:szCs w:val="24"/>
        </w:rPr>
        <w:t>, kako bi se podigla svest javnog i privatnog sektora o pravnoj zaštiti u vezi sa dizajnom životnog ciklusa veštačke inteligencije, koja utiče na privatnost i prava na nediskriminaciju.</w:t>
      </w:r>
    </w:p>
    <w:p w:rsidR="00A278CC" w:rsidRPr="00A278CC" w:rsidRDefault="00A278CC" w:rsidP="00A278CC">
      <w:pPr>
        <w:rPr>
          <w:rFonts w:ascii="Times New Roman" w:eastAsiaTheme="minorHAnsi" w:hAnsi="Times New Roman" w:cs="Times New Roman"/>
          <w:b/>
          <w:sz w:val="24"/>
          <w:szCs w:val="24"/>
        </w:rPr>
      </w:pP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(IV) LJUDSKI KAPITAL</w:t>
      </w:r>
    </w:p>
    <w:p w:rsidR="00A278CC" w:rsidRPr="00A278CC" w:rsidRDefault="00A278CC" w:rsidP="00A278CC">
      <w:pPr>
        <w:ind w:firstLine="720"/>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w:t>
      </w:r>
      <w:r w:rsidRPr="00A278CC">
        <w:rPr>
          <w:rFonts w:ascii="Times New Roman" w:eastAsiaTheme="minorHAnsi" w:hAnsi="Times New Roman" w:cs="Times New Roman"/>
          <w:b/>
          <w:sz w:val="24"/>
          <w:szCs w:val="24"/>
        </w:rPr>
        <w:t>Promovisanje digitalne pismenosti i javnog obrazovanja</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Vlade četiri zemlje se podstiču da ulažu u nacionalne programe digitalne pismenosti i obrazovanja kako bi osigurali da građani, posebno ranjive grupe, razumeju svoja prava u vezi sa zaštitom podataka u digitalnom dobu. Preporučuje se organizovanje kampanja za podizanje svesti javnosti i besplatne obuke za promovisanje odgovorne prakse rukovanja podacima i edukaciju građana o njihovom pravu na privatnost podataka.</w:t>
      </w:r>
    </w:p>
    <w:p w:rsidR="00A278CC" w:rsidRPr="00A278CC" w:rsidRDefault="00A278CC" w:rsidP="00A278CC">
      <w:pPr>
        <w:ind w:firstLine="720"/>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w:t>
      </w:r>
      <w:r w:rsidRPr="00A278CC">
        <w:rPr>
          <w:rFonts w:ascii="Times New Roman" w:eastAsiaTheme="minorHAnsi" w:hAnsi="Times New Roman" w:cs="Times New Roman"/>
          <w:b/>
          <w:sz w:val="24"/>
          <w:szCs w:val="24"/>
        </w:rPr>
        <w:t>Jačanje svesti o sajber bezbednosti i kapaciteta u javnoj upravi</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Preporučujemo preduzimanje mera za povećanje znanja o sajber bezbednosti i sajber higijeni u javnoj upravi, podizanje svesti na svim nivoima i pružanje kontinuirane obuke, smernica i jasnih internih procedura. Koordinaciju između javnih i privatnih subjekata treba ojačati kako bi se </w:t>
      </w:r>
      <w:r w:rsidRPr="00A278CC">
        <w:rPr>
          <w:rFonts w:ascii="Times New Roman" w:eastAsiaTheme="minorHAnsi" w:hAnsi="Times New Roman" w:cs="Times New Roman"/>
          <w:sz w:val="24"/>
          <w:szCs w:val="24"/>
        </w:rPr>
        <w:lastRenderedPageBreak/>
        <w:t>poboljšala nacionalna otpornost na sajber pretnje, s obzirom na novo zakonodavstvo EU o sajber otpornosti i sajber solidarnosti</w:t>
      </w:r>
      <w:r w:rsidRPr="00A278CC">
        <w:rPr>
          <w:rFonts w:ascii="Times New Roman" w:eastAsiaTheme="minorHAnsi" w:hAnsi="Times New Roman" w:cs="Times New Roman"/>
          <w:sz w:val="24"/>
          <w:szCs w:val="24"/>
          <w:vertAlign w:val="superscript"/>
        </w:rPr>
        <w:footnoteReference w:id="9"/>
      </w:r>
      <w:r w:rsidRPr="00A278CC">
        <w:rPr>
          <w:rFonts w:ascii="Times New Roman" w:eastAsiaTheme="minorHAnsi" w:hAnsi="Times New Roman" w:cs="Times New Roman"/>
          <w:sz w:val="24"/>
          <w:szCs w:val="24"/>
        </w:rPr>
        <w:t>. Preporučljivo je da se nastavi sa usklađivanjem zakonodavstva naše četiri zemlje u regionu sa pravnim tekovinama EU o sajber bezbednosti, uključujući Direktivu EU NIS 2</w:t>
      </w:r>
      <w:r w:rsidRPr="00A278CC">
        <w:rPr>
          <w:rFonts w:ascii="Times New Roman" w:eastAsiaTheme="minorHAnsi" w:hAnsi="Times New Roman" w:cs="Times New Roman"/>
          <w:sz w:val="24"/>
          <w:szCs w:val="24"/>
          <w:vertAlign w:val="superscript"/>
        </w:rPr>
        <w:footnoteReference w:id="10"/>
      </w:r>
      <w:r w:rsidRPr="00A278CC">
        <w:rPr>
          <w:rFonts w:ascii="Times New Roman" w:eastAsiaTheme="minorHAnsi" w:hAnsi="Times New Roman" w:cs="Times New Roman"/>
          <w:sz w:val="24"/>
          <w:szCs w:val="24"/>
        </w:rPr>
        <w:t xml:space="preserve"> o merama za visoki zajednički nivo sajber bezbednosti širom Unije. Pored toga, vlade se podstiču da poštuju međunarodne standarde sajber-bezbednosti i prošire regionalnu i međunarodnu saradnju aktivnim učešćem na forumima za razmenu najboljih praksi i naučenih lekcija.</w:t>
      </w:r>
    </w:p>
    <w:p w:rsidR="00A278CC" w:rsidRPr="00A278CC" w:rsidRDefault="00A278CC" w:rsidP="00A278CC">
      <w:pPr>
        <w:rPr>
          <w:rFonts w:ascii="Times New Roman" w:eastAsiaTheme="minorHAnsi" w:hAnsi="Times New Roman" w:cs="Times New Roman"/>
          <w:b/>
          <w:sz w:val="24"/>
          <w:szCs w:val="24"/>
        </w:rPr>
      </w:pPr>
      <w:r w:rsidRPr="00A278CC">
        <w:rPr>
          <w:rFonts w:ascii="Times New Roman" w:eastAsiaTheme="minorHAnsi" w:hAnsi="Times New Roman" w:cs="Times New Roman"/>
          <w:b/>
          <w:sz w:val="24"/>
          <w:szCs w:val="24"/>
        </w:rPr>
        <w:t>ZAVRŠNE PREPORUKE</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Ponovo potvrđujemo da su digitalizacija javnih usluga i zaštita ličnih podataka ključne komponente procesa integracije Zapadnog Balkana u Evropsku uniju. Kao takvi, ovi napori bi trebalo da budu prioritet u nacionalnim reformskim agendama, uz aktivno i inkluzivno učešće civilnog društva, organa za zaštitu podataka i drugih relevantnih aktera u ovom procesu.</w:t>
      </w:r>
    </w:p>
    <w:p w:rsidR="00A278CC" w:rsidRPr="00A278CC" w:rsidRDefault="00A278CC" w:rsidP="00A278CC">
      <w:pPr>
        <w:jc w:val="both"/>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Pozivamo vlade i parlamente Zapadnog Balkana da preduzmu proaktivne korake ka sprovođenju ovih preporuka, pokazujući svoju posvećenost obezbeđivanju digitalne budućnosti regiona u skladu sa evropskim vrednostima i standardima, u čijoj osnovi leže ljudska prava i slobode.</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b/>
          <w:sz w:val="24"/>
          <w:szCs w:val="24"/>
        </w:rPr>
        <w:t>STRANKE POTPISNICE</w:t>
      </w:r>
      <w:r w:rsidRPr="00A278CC">
        <w:rPr>
          <w:rFonts w:ascii="Times New Roman" w:eastAsiaTheme="minorHAnsi" w:hAnsi="Times New Roman" w:cs="Times New Roman"/>
          <w:sz w:val="24"/>
          <w:szCs w:val="24"/>
        </w:rPr>
        <w:t>:</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Albanski Helsinški komitet, </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xml:space="preserve">• Program za građanska prava, Kosovo </w:t>
      </w:r>
    </w:p>
    <w:p w:rsidR="00A278CC" w:rsidRPr="00A278CC" w:rsidRDefault="00A278CC" w:rsidP="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Helsinški komitet za ljudska prava, Severna Makedonija</w:t>
      </w:r>
    </w:p>
    <w:p w:rsidR="00FA6214" w:rsidRPr="00A278CC" w:rsidRDefault="00A278CC">
      <w:pPr>
        <w:rPr>
          <w:rFonts w:ascii="Times New Roman" w:eastAsiaTheme="minorHAnsi" w:hAnsi="Times New Roman" w:cs="Times New Roman"/>
          <w:sz w:val="24"/>
          <w:szCs w:val="24"/>
        </w:rPr>
      </w:pPr>
      <w:r w:rsidRPr="00A278CC">
        <w:rPr>
          <w:rFonts w:ascii="Times New Roman" w:eastAsiaTheme="minorHAnsi" w:hAnsi="Times New Roman" w:cs="Times New Roman"/>
          <w:sz w:val="24"/>
          <w:szCs w:val="24"/>
        </w:rPr>
        <w:t>• Helsinški odbor za ljudska prava, Srbij</w:t>
      </w:r>
      <w:r>
        <w:rPr>
          <w:rFonts w:ascii="Times New Roman" w:eastAsiaTheme="minorHAnsi" w:hAnsi="Times New Roman" w:cs="Times New Roman"/>
          <w:sz w:val="24"/>
          <w:szCs w:val="24"/>
        </w:rPr>
        <w:t>a</w:t>
      </w:r>
      <w:r w:rsidRPr="00A278CC">
        <w:rPr>
          <w:rFonts w:ascii="Times New Roman" w:eastAsiaTheme="minorHAnsi" w:hAnsi="Times New Roman" w:cs="Times New Roman"/>
          <w:sz w:val="24"/>
          <w:szCs w:val="24"/>
        </w:rPr>
        <w:t xml:space="preserve"> </w:t>
      </w:r>
    </w:p>
    <w:p w:rsidR="00FA6214" w:rsidRDefault="00FA6214"/>
    <w:p w:rsidR="00FA6214" w:rsidRDefault="00FA6214"/>
    <w:p w:rsidR="00FA6214" w:rsidRDefault="00FA6214"/>
    <w:p w:rsidR="00FA6214" w:rsidRDefault="00FA6214"/>
    <w:p w:rsidR="00FA6214" w:rsidRDefault="00FA6214"/>
    <w:p w:rsidR="00CB28A3" w:rsidRDefault="00CB28A3">
      <w:bookmarkStart w:id="0" w:name="_GoBack"/>
      <w:bookmarkEnd w:id="0"/>
    </w:p>
    <w:p w:rsidR="004676AF" w:rsidRDefault="00FA6214">
      <w:r>
        <w:rPr>
          <w:noProof/>
        </w:rPr>
        <w:drawing>
          <wp:anchor distT="0" distB="0" distL="114300" distR="114300" simplePos="0" relativeHeight="251663360" behindDoc="0" locked="0" layoutInCell="1" hidden="0" allowOverlap="1">
            <wp:simplePos x="0" y="0"/>
            <wp:positionH relativeFrom="column">
              <wp:posOffset>179705</wp:posOffset>
            </wp:positionH>
            <wp:positionV relativeFrom="paragraph">
              <wp:posOffset>340360</wp:posOffset>
            </wp:positionV>
            <wp:extent cx="533400" cy="54356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3400" cy="54356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1438910</wp:posOffset>
            </wp:positionH>
            <wp:positionV relativeFrom="paragraph">
              <wp:posOffset>466725</wp:posOffset>
            </wp:positionV>
            <wp:extent cx="1089660" cy="316865"/>
            <wp:effectExtent l="0" t="0" r="0" b="0"/>
            <wp:wrapSquare wrapText="bothSides" distT="0" distB="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89660" cy="31686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3319145</wp:posOffset>
            </wp:positionH>
            <wp:positionV relativeFrom="paragraph">
              <wp:posOffset>465455</wp:posOffset>
            </wp:positionV>
            <wp:extent cx="775335" cy="318135"/>
            <wp:effectExtent l="0" t="0" r="0" b="0"/>
            <wp:wrapSquare wrapText="bothSides" distT="0" distB="0" distL="114300" distR="11430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775335" cy="31813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4610100</wp:posOffset>
            </wp:positionH>
            <wp:positionV relativeFrom="paragraph">
              <wp:posOffset>358775</wp:posOffset>
            </wp:positionV>
            <wp:extent cx="1114425" cy="406400"/>
            <wp:effectExtent l="0" t="0" r="9525"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114425" cy="406400"/>
                    </a:xfrm>
                    <a:prstGeom prst="rect">
                      <a:avLst/>
                    </a:prstGeom>
                    <a:ln/>
                  </pic:spPr>
                </pic:pic>
              </a:graphicData>
            </a:graphic>
            <wp14:sizeRelV relativeFrom="margin">
              <wp14:pctHeight>0</wp14:pctHeight>
            </wp14:sizeRelV>
          </wp:anchor>
        </w:drawing>
      </w:r>
    </w:p>
    <w:sectPr w:rsidR="004676A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64" w:rsidRDefault="005E6364" w:rsidP="00A278CC">
      <w:pPr>
        <w:spacing w:after="0" w:line="240" w:lineRule="auto"/>
      </w:pPr>
      <w:r>
        <w:separator/>
      </w:r>
    </w:p>
  </w:endnote>
  <w:endnote w:type="continuationSeparator" w:id="0">
    <w:p w:rsidR="005E6364" w:rsidRDefault="005E6364" w:rsidP="00A2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64" w:rsidRDefault="005E6364" w:rsidP="00A278CC">
      <w:pPr>
        <w:spacing w:after="0" w:line="240" w:lineRule="auto"/>
      </w:pPr>
      <w:r>
        <w:separator/>
      </w:r>
    </w:p>
  </w:footnote>
  <w:footnote w:type="continuationSeparator" w:id="0">
    <w:p w:rsidR="005E6364" w:rsidRDefault="005E6364" w:rsidP="00A278CC">
      <w:pPr>
        <w:spacing w:after="0" w:line="240" w:lineRule="auto"/>
      </w:pPr>
      <w:r>
        <w:continuationSeparator/>
      </w:r>
    </w:p>
  </w:footnote>
  <w:footnote w:id="1">
    <w:p w:rsidR="00A278CC" w:rsidRPr="000B7B2A" w:rsidRDefault="00A278CC" w:rsidP="00A278CC">
      <w:pPr>
        <w:pStyle w:val="FootnoteText"/>
        <w:jc w:val="both"/>
      </w:pPr>
      <w:r>
        <w:rPr>
          <w:rStyle w:val="FootnoteReference"/>
        </w:rPr>
        <w:footnoteRef/>
      </w:r>
      <w:r>
        <w:t xml:space="preserve"> Pod nazivom „Digitalni horizonti: Zaštita podataka u doba inovacija“, ovu diskusiju je organizovao Albanski Helsinški odbor u saradnji sa Programom za građanska prava na Kosovu, Helsinškim odborom za ljudska prava u Severnoj Makedoniji i Helsinškim odborom za ljudska prava u Srbiji, u okviru projekta „Digitalizacija javne uprave i zaštita ličnih podataka: usklađivanje sa evropskim integracijama“, koji finansiraju Fond za zapadni Balkan i Evropska unija.</w:t>
      </w:r>
    </w:p>
  </w:footnote>
  <w:footnote w:id="2">
    <w:p w:rsidR="00A278CC" w:rsidRPr="00A03595" w:rsidRDefault="00A278CC" w:rsidP="00A278CC">
      <w:pPr>
        <w:pStyle w:val="FootnoteText"/>
        <w:jc w:val="both"/>
        <w:rPr>
          <w:lang w:val="sr-Latn-RS"/>
        </w:rPr>
      </w:pPr>
      <w:r>
        <w:rPr>
          <w:rStyle w:val="FootnoteReference"/>
        </w:rPr>
        <w:footnoteRef/>
      </w:r>
      <w:r>
        <w:t xml:space="preserve"> </w:t>
      </w:r>
      <w:r w:rsidRPr="003457FD">
        <w:t>General D</w:t>
      </w:r>
      <w:r>
        <w:t xml:space="preserve">ata Protection Directive </w:t>
      </w:r>
    </w:p>
  </w:footnote>
  <w:footnote w:id="3">
    <w:p w:rsidR="00A278CC" w:rsidRPr="007C5161" w:rsidRDefault="00A278CC" w:rsidP="00A278CC">
      <w:pPr>
        <w:pStyle w:val="FootnoteText"/>
        <w:rPr>
          <w:lang w:val="sr-Latn-RS"/>
        </w:rPr>
      </w:pPr>
      <w:r>
        <w:rPr>
          <w:rStyle w:val="FootnoteReference"/>
        </w:rPr>
        <w:footnoteRef/>
      </w:r>
      <w:r>
        <w:t xml:space="preserve"> </w:t>
      </w:r>
      <w:r w:rsidRPr="00603973">
        <w:t xml:space="preserve">Central European Free Trade Agreement (CEFTA) </w:t>
      </w:r>
    </w:p>
  </w:footnote>
  <w:footnote w:id="4">
    <w:p w:rsidR="00A278CC" w:rsidRPr="007C5161" w:rsidRDefault="00A278CC" w:rsidP="00A278CC">
      <w:pPr>
        <w:pStyle w:val="FootnoteText"/>
        <w:rPr>
          <w:lang w:val="sr-Latn-RS"/>
        </w:rPr>
      </w:pPr>
      <w:r>
        <w:rPr>
          <w:rStyle w:val="FootnoteReference"/>
        </w:rPr>
        <w:footnoteRef/>
      </w:r>
      <w:r>
        <w:t xml:space="preserve"> </w:t>
      </w:r>
      <w:r w:rsidRPr="007C5161">
        <w:t>Memorandum o razumevanju o regionalnoj interoperabilnosti i uslugama poverenja u regionu Zapadnog Balkana</w:t>
      </w:r>
      <w:r>
        <w:t>,</w:t>
      </w:r>
      <w:r w:rsidRPr="007C5161">
        <w:t xml:space="preserve"> potpisan 2. novembra 2020.</w:t>
      </w:r>
    </w:p>
  </w:footnote>
  <w:footnote w:id="5">
    <w:p w:rsidR="00A278CC" w:rsidRPr="001F2E0C" w:rsidRDefault="00A278CC" w:rsidP="00A278CC">
      <w:pPr>
        <w:pStyle w:val="FootnoteText"/>
      </w:pPr>
      <w:r>
        <w:rPr>
          <w:rStyle w:val="FootnoteReference"/>
        </w:rPr>
        <w:footnoteRef/>
      </w:r>
      <w:r>
        <w:t xml:space="preserve"> </w:t>
      </w:r>
      <w:r w:rsidRPr="001F2E0C">
        <w:t>Digital Economy and Society Index</w:t>
      </w:r>
    </w:p>
  </w:footnote>
  <w:footnote w:id="6">
    <w:p w:rsidR="00A278CC" w:rsidRPr="00685A71" w:rsidRDefault="00A278CC" w:rsidP="00A278CC">
      <w:pPr>
        <w:pStyle w:val="FootnoteText"/>
        <w:rPr>
          <w:lang w:val="sr-Latn-RS"/>
        </w:rPr>
      </w:pPr>
      <w:r>
        <w:rPr>
          <w:rStyle w:val="FootnoteReference"/>
        </w:rPr>
        <w:footnoteRef/>
      </w:r>
      <w:r>
        <w:t xml:space="preserve"> European Union</w:t>
      </w:r>
      <w:r w:rsidRPr="00685A71">
        <w:t xml:space="preserve"> A</w:t>
      </w:r>
      <w:r>
        <w:t xml:space="preserve">rtificial Intelligence </w:t>
      </w:r>
      <w:r w:rsidRPr="00685A71">
        <w:t>Act</w:t>
      </w:r>
      <w:r>
        <w:t xml:space="preserve"> - </w:t>
      </w:r>
      <w:r w:rsidRPr="007472CD">
        <w:t>AI Act</w:t>
      </w:r>
      <w:r>
        <w:t xml:space="preserve"> </w:t>
      </w:r>
    </w:p>
  </w:footnote>
  <w:footnote w:id="7">
    <w:p w:rsidR="00A278CC" w:rsidRPr="006B2881" w:rsidRDefault="00A278CC" w:rsidP="00A278CC">
      <w:pPr>
        <w:pStyle w:val="FootnoteText"/>
      </w:pPr>
      <w:r>
        <w:rPr>
          <w:rStyle w:val="FootnoteReference"/>
        </w:rPr>
        <w:footnoteRef/>
      </w:r>
      <w:r>
        <w:t xml:space="preserve"> </w:t>
      </w:r>
      <w:r w:rsidRPr="006B2881">
        <w:t>Otvoreno za potpisivanje od strane Saveta Evrope 5. septembra 2024. godine, nekoliko meseci nakon Evropskog sporazuma o veštačkoj inteligenciji.</w:t>
      </w:r>
    </w:p>
  </w:footnote>
  <w:footnote w:id="8">
    <w:p w:rsidR="00A278CC" w:rsidRPr="006B2881" w:rsidRDefault="00A278CC" w:rsidP="00A278CC">
      <w:pPr>
        <w:pStyle w:val="FootnoteText"/>
      </w:pPr>
      <w:r>
        <w:rPr>
          <w:rStyle w:val="FootnoteReference"/>
        </w:rPr>
        <w:footnoteRef/>
      </w:r>
      <w:r>
        <w:t xml:space="preserve"> Kao što je N</w:t>
      </w:r>
      <w:r w:rsidRPr="006B2881">
        <w:t>acrt zakona o veštačkoj inteligenciji u Srbiji i nacrt etičkih smernica o posledicama veštačke inteligencije po ljudska prava.</w:t>
      </w:r>
    </w:p>
  </w:footnote>
  <w:footnote w:id="9">
    <w:p w:rsidR="00A278CC" w:rsidRPr="006B2881" w:rsidRDefault="00A278CC" w:rsidP="00A278CC">
      <w:pPr>
        <w:pStyle w:val="FootnoteText"/>
        <w:rPr>
          <w:lang w:val="sr-Latn-RS"/>
        </w:rPr>
      </w:pPr>
      <w:r>
        <w:rPr>
          <w:rStyle w:val="FootnoteReference"/>
        </w:rPr>
        <w:footnoteRef/>
      </w:r>
      <w:r>
        <w:t xml:space="preserve"> </w:t>
      </w:r>
      <w:r w:rsidRPr="00635AFB">
        <w:t>The European Cyber Resilience Act  (CRA) and the EU Cyber Solidarity Act (CSA).</w:t>
      </w:r>
      <w:r>
        <w:t xml:space="preserve"> </w:t>
      </w:r>
    </w:p>
  </w:footnote>
  <w:footnote w:id="10">
    <w:p w:rsidR="00A278CC" w:rsidRPr="006B2881" w:rsidRDefault="00A278CC" w:rsidP="00A278CC">
      <w:pPr>
        <w:pStyle w:val="FootnoteText"/>
        <w:rPr>
          <w:lang w:val="sr-Latn-RS"/>
        </w:rPr>
      </w:pPr>
      <w:r>
        <w:rPr>
          <w:rStyle w:val="FootnoteReference"/>
        </w:rPr>
        <w:footnoteRef/>
      </w:r>
      <w:r>
        <w:t xml:space="preserve"> </w:t>
      </w:r>
      <w:r w:rsidRPr="006B2881">
        <w:t>Direktiva 2022/2555 o merama za visoki zajednički nivo sajber bezbednosti širom Unije (NIS)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0F05"/>
    <w:multiLevelType w:val="multilevel"/>
    <w:tmpl w:val="BA083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C12647F"/>
    <w:multiLevelType w:val="multilevel"/>
    <w:tmpl w:val="4B14D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AF"/>
    <w:rsid w:val="00100847"/>
    <w:rsid w:val="00173DDC"/>
    <w:rsid w:val="003E31B6"/>
    <w:rsid w:val="004676AF"/>
    <w:rsid w:val="004C24EC"/>
    <w:rsid w:val="005E6364"/>
    <w:rsid w:val="006D4BD4"/>
    <w:rsid w:val="00807B4A"/>
    <w:rsid w:val="00A278CC"/>
    <w:rsid w:val="00B90CC3"/>
    <w:rsid w:val="00CB28A3"/>
    <w:rsid w:val="00D8190D"/>
    <w:rsid w:val="00FA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F7D2"/>
  <w15:docId w15:val="{98408350-8E66-44C1-BA80-4739B01F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C64B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B92"/>
    <w:rPr>
      <w:b/>
      <w:bCs/>
    </w:rPr>
  </w:style>
  <w:style w:type="paragraph" w:styleId="Header">
    <w:name w:val="header"/>
    <w:basedOn w:val="Normal"/>
    <w:link w:val="HeaderChar"/>
    <w:uiPriority w:val="99"/>
    <w:unhideWhenUsed/>
    <w:rsid w:val="00C64B92"/>
    <w:pPr>
      <w:tabs>
        <w:tab w:val="center" w:pos="4513"/>
        <w:tab w:val="right" w:pos="9026"/>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C64B92"/>
    <w:rPr>
      <w:rFonts w:ascii="Arial" w:eastAsia="Arial" w:hAnsi="Arial" w:cs="Arial"/>
      <w:lang w:val="en"/>
    </w:rPr>
  </w:style>
  <w:style w:type="paragraph" w:styleId="Footer">
    <w:name w:val="footer"/>
    <w:basedOn w:val="Normal"/>
    <w:link w:val="FooterChar"/>
    <w:uiPriority w:val="99"/>
    <w:unhideWhenUsed/>
    <w:rsid w:val="00C64B92"/>
    <w:pPr>
      <w:tabs>
        <w:tab w:val="center" w:pos="4513"/>
        <w:tab w:val="right" w:pos="9026"/>
      </w:tabs>
      <w:spacing w:after="0" w:line="240" w:lineRule="auto"/>
    </w:pPr>
    <w:rPr>
      <w:rFonts w:ascii="Arial" w:eastAsia="Arial" w:hAnsi="Arial" w:cs="Arial"/>
      <w:lang w:val="en"/>
    </w:rPr>
  </w:style>
  <w:style w:type="character" w:customStyle="1" w:styleId="FooterChar">
    <w:name w:val="Footer Char"/>
    <w:basedOn w:val="DefaultParagraphFont"/>
    <w:link w:val="Footer"/>
    <w:uiPriority w:val="99"/>
    <w:rsid w:val="00C64B92"/>
    <w:rPr>
      <w:rFonts w:ascii="Arial" w:eastAsia="Arial" w:hAnsi="Arial" w:cs="Arial"/>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0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47"/>
    <w:rPr>
      <w:rFonts w:ascii="Segoe UI" w:hAnsi="Segoe UI" w:cs="Segoe UI"/>
      <w:sz w:val="18"/>
      <w:szCs w:val="18"/>
    </w:rPr>
  </w:style>
  <w:style w:type="table" w:styleId="TableGrid">
    <w:name w:val="Table Grid"/>
    <w:basedOn w:val="TableNormal"/>
    <w:uiPriority w:val="39"/>
    <w:rsid w:val="0010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78C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278CC"/>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A278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7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nZmdfmQb+YKTW0Kl5H4K8GGDxg==">CgMxLjAyCGguZ2pkZ3hzOAByITFOSUJQcUpzLUlLQUZ3QTMzbDJsN2VPb1I4eGJYTDdHbA==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ljisa</cp:lastModifiedBy>
  <cp:revision>3</cp:revision>
  <dcterms:created xsi:type="dcterms:W3CDTF">2025-03-17T13:49:00Z</dcterms:created>
  <dcterms:modified xsi:type="dcterms:W3CDTF">2025-03-17T13:55:00Z</dcterms:modified>
</cp:coreProperties>
</file>